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201"/>
        <w:tblW w:w="15475" w:type="dxa"/>
        <w:tblLayout w:type="fixed"/>
        <w:tblLook w:val="04A0"/>
      </w:tblPr>
      <w:tblGrid>
        <w:gridCol w:w="895"/>
        <w:gridCol w:w="1912"/>
        <w:gridCol w:w="6334"/>
        <w:gridCol w:w="6334"/>
      </w:tblGrid>
      <w:tr w:rsidR="007A2026" w:rsidTr="007A2026">
        <w:trPr>
          <w:trHeight w:val="620"/>
        </w:trPr>
        <w:tc>
          <w:tcPr>
            <w:tcW w:w="895" w:type="dxa"/>
            <w:vAlign w:val="center"/>
          </w:tcPr>
          <w:p w:rsidR="007A2026" w:rsidRDefault="007A2026" w:rsidP="007A2026">
            <w:pPr>
              <w:jc w:val="center"/>
              <w:rPr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4"/>
              </w:rPr>
              <w:t>NR.</w:t>
            </w:r>
          </w:p>
        </w:tc>
        <w:tc>
          <w:tcPr>
            <w:tcW w:w="1912" w:type="dxa"/>
            <w:vAlign w:val="center"/>
          </w:tcPr>
          <w:p w:rsidR="007A2026" w:rsidRDefault="007A2026" w:rsidP="007A202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ARTICOLUL</w:t>
            </w:r>
          </w:p>
        </w:tc>
        <w:tc>
          <w:tcPr>
            <w:tcW w:w="6334" w:type="dxa"/>
            <w:vAlign w:val="center"/>
          </w:tcPr>
          <w:p w:rsidR="007A2026" w:rsidRDefault="007A2026" w:rsidP="007A202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FORMA ACTUALĂ</w:t>
            </w:r>
          </w:p>
        </w:tc>
        <w:tc>
          <w:tcPr>
            <w:tcW w:w="6334" w:type="dxa"/>
            <w:vAlign w:val="center"/>
          </w:tcPr>
          <w:p w:rsidR="007A2026" w:rsidRDefault="007A2026" w:rsidP="007A2026">
            <w:pPr>
              <w:spacing w:line="276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FORMA MODIFICATĂ</w:t>
            </w:r>
          </w:p>
        </w:tc>
      </w:tr>
      <w:tr w:rsidR="007A2026" w:rsidTr="007A2026">
        <w:trPr>
          <w:trHeight w:val="529"/>
        </w:trPr>
        <w:tc>
          <w:tcPr>
            <w:tcW w:w="895" w:type="dxa"/>
            <w:vAlign w:val="center"/>
          </w:tcPr>
          <w:p w:rsidR="007A2026" w:rsidRDefault="007A2026" w:rsidP="007A2026">
            <w:pPr>
              <w:jc w:val="center"/>
              <w:rPr>
                <w:sz w:val="24"/>
                <w:szCs w:val="24"/>
              </w:rPr>
            </w:pPr>
            <w:bookmarkStart w:id="1" w:name="_Hlk52361876"/>
            <w:r>
              <w:rPr>
                <w:sz w:val="24"/>
                <w:szCs w:val="24"/>
              </w:rPr>
              <w:t>13</w:t>
            </w:r>
          </w:p>
        </w:tc>
        <w:tc>
          <w:tcPr>
            <w:tcW w:w="1912" w:type="dxa"/>
            <w:vAlign w:val="center"/>
          </w:tcPr>
          <w:p w:rsidR="0090313C" w:rsidRDefault="007A2026" w:rsidP="007A2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</w:t>
            </w:r>
            <w:r w:rsidR="0090313C">
              <w:rPr>
                <w:sz w:val="24"/>
                <w:szCs w:val="24"/>
              </w:rPr>
              <w:t xml:space="preserve">4 alin. 4 </w:t>
            </w:r>
          </w:p>
          <w:p w:rsidR="007A2026" w:rsidRDefault="0090313C" w:rsidP="007A202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teza I</w:t>
            </w:r>
          </w:p>
        </w:tc>
        <w:tc>
          <w:tcPr>
            <w:tcW w:w="6334" w:type="dxa"/>
            <w:vAlign w:val="center"/>
          </w:tcPr>
          <w:p w:rsidR="007A2026" w:rsidRDefault="0090313C" w:rsidP="0090313C">
            <w:pPr>
              <w:jc w:val="both"/>
              <w:rPr>
                <w:sz w:val="24"/>
                <w:szCs w:val="24"/>
              </w:rPr>
            </w:pPr>
            <w:r w:rsidRPr="0090313C">
              <w:rPr>
                <w:sz w:val="24"/>
                <w:szCs w:val="24"/>
              </w:rPr>
              <w:t>Într-un an competiţional un jucător se poate legitima sau transfera la maxim trei cluburi. Întimpul acestei perioade jucătorul are dreptul să joace în meciuri oficiale pentru numai douăcluburi</w:t>
            </w:r>
            <w:r>
              <w:rPr>
                <w:sz w:val="24"/>
                <w:szCs w:val="24"/>
              </w:rPr>
              <w:t>.......</w:t>
            </w:r>
          </w:p>
        </w:tc>
        <w:tc>
          <w:tcPr>
            <w:tcW w:w="6334" w:type="dxa"/>
            <w:vAlign w:val="center"/>
          </w:tcPr>
          <w:p w:rsidR="0090313C" w:rsidRPr="00F67166" w:rsidRDefault="0090313C" w:rsidP="0090313C">
            <w:pPr>
              <w:spacing w:line="360" w:lineRule="auto"/>
              <w:jc w:val="both"/>
              <w:rPr>
                <w:b/>
                <w:bCs/>
                <w:color w:val="7030A0"/>
                <w:sz w:val="24"/>
                <w:szCs w:val="24"/>
                <w:vertAlign w:val="superscript"/>
                <w:lang w:val="it-IT"/>
              </w:rPr>
            </w:pPr>
            <w:r w:rsidRPr="0090313C">
              <w:rPr>
                <w:color w:val="7030A0"/>
                <w:sz w:val="24"/>
                <w:szCs w:val="24"/>
                <w:lang w:val="it-IT"/>
              </w:rPr>
              <w:t>Într-un an competiţional un jucător se poate legitima sau transfera la maxim trei cluburi. În timpul acestei perioade jucătorul are dreptul să joace în meciuri oficiale pentru numai două cluburi</w:t>
            </w:r>
            <w:r>
              <w:rPr>
                <w:b/>
                <w:bCs/>
                <w:color w:val="7030A0"/>
                <w:sz w:val="24"/>
                <w:szCs w:val="24"/>
                <w:lang w:val="it-IT"/>
              </w:rPr>
              <w:t xml:space="preserve">.În sezonul competițional 2020/2021, în conformitate cu prevederile Circularei FIFA nr. 1720 din 11 iunie 2020, </w:t>
            </w:r>
            <w:r w:rsidRPr="0090313C">
              <w:rPr>
                <w:b/>
                <w:bCs/>
                <w:color w:val="7030A0"/>
                <w:sz w:val="24"/>
                <w:szCs w:val="24"/>
                <w:lang w:val="it-IT"/>
              </w:rPr>
              <w:t>un jucător se poate legitima sau transfera la maxim trei cluburi</w:t>
            </w:r>
            <w:r>
              <w:rPr>
                <w:b/>
                <w:bCs/>
                <w:color w:val="7030A0"/>
                <w:sz w:val="24"/>
                <w:szCs w:val="24"/>
                <w:lang w:val="it-IT"/>
              </w:rPr>
              <w:t xml:space="preserve"> și în această perioadă j</w:t>
            </w:r>
            <w:r w:rsidRPr="0090313C">
              <w:rPr>
                <w:b/>
                <w:bCs/>
                <w:color w:val="7030A0"/>
                <w:sz w:val="24"/>
                <w:szCs w:val="24"/>
                <w:lang w:val="it-IT"/>
              </w:rPr>
              <w:t xml:space="preserve">ucătorul are dreptul să joace în meciuri oficiale pentru </w:t>
            </w:r>
            <w:r>
              <w:rPr>
                <w:b/>
                <w:bCs/>
                <w:color w:val="7030A0"/>
                <w:sz w:val="24"/>
                <w:szCs w:val="24"/>
                <w:lang w:val="it-IT"/>
              </w:rPr>
              <w:t>trei</w:t>
            </w:r>
            <w:r w:rsidRPr="0090313C">
              <w:rPr>
                <w:b/>
                <w:bCs/>
                <w:color w:val="7030A0"/>
                <w:sz w:val="24"/>
                <w:szCs w:val="24"/>
                <w:lang w:val="it-IT"/>
              </w:rPr>
              <w:t xml:space="preserve"> cluburi</w:t>
            </w:r>
            <w:r>
              <w:rPr>
                <w:b/>
                <w:bCs/>
                <w:color w:val="7030A0"/>
                <w:sz w:val="24"/>
                <w:szCs w:val="24"/>
                <w:lang w:val="it-IT"/>
              </w:rPr>
              <w:t>. .....</w:t>
            </w:r>
          </w:p>
          <w:p w:rsidR="007A2026" w:rsidRPr="00F67166" w:rsidRDefault="007A2026" w:rsidP="007A2026">
            <w:pPr>
              <w:spacing w:line="360" w:lineRule="auto"/>
              <w:jc w:val="both"/>
              <w:rPr>
                <w:b/>
                <w:bCs/>
                <w:color w:val="7030A0"/>
                <w:sz w:val="24"/>
                <w:szCs w:val="24"/>
                <w:vertAlign w:val="superscript"/>
                <w:lang w:val="it-IT"/>
              </w:rPr>
            </w:pPr>
          </w:p>
        </w:tc>
      </w:tr>
      <w:bookmarkEnd w:id="1"/>
    </w:tbl>
    <w:p w:rsidR="007A2026" w:rsidRDefault="007A2026" w:rsidP="007A2026">
      <w:pPr>
        <w:jc w:val="center"/>
        <w:rPr>
          <w:b/>
          <w:sz w:val="24"/>
        </w:rPr>
      </w:pPr>
    </w:p>
    <w:p w:rsidR="0012005D" w:rsidRDefault="0012005D"/>
    <w:sectPr w:rsidR="0012005D" w:rsidSect="00DD28BA">
      <w:headerReference w:type="default" r:id="rId6"/>
      <w:pgSz w:w="16838" w:h="11906" w:orient="landscape"/>
      <w:pgMar w:top="432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415" w:rsidRDefault="000E2415" w:rsidP="007A2026">
      <w:pPr>
        <w:spacing w:after="0" w:line="240" w:lineRule="auto"/>
      </w:pPr>
      <w:r>
        <w:separator/>
      </w:r>
    </w:p>
  </w:endnote>
  <w:endnote w:type="continuationSeparator" w:id="1">
    <w:p w:rsidR="000E2415" w:rsidRDefault="000E2415" w:rsidP="007A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415" w:rsidRDefault="000E2415" w:rsidP="007A2026">
      <w:pPr>
        <w:spacing w:after="0" w:line="240" w:lineRule="auto"/>
      </w:pPr>
      <w:r>
        <w:separator/>
      </w:r>
    </w:p>
  </w:footnote>
  <w:footnote w:type="continuationSeparator" w:id="1">
    <w:p w:rsidR="000E2415" w:rsidRDefault="000E2415" w:rsidP="007A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bCs/>
        <w:caps/>
        <w:color w:val="FFFFFF" w:themeColor="background1"/>
        <w:sz w:val="24"/>
      </w:rPr>
      <w:alias w:val="Title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67166" w:rsidRDefault="00F67166" w:rsidP="00F67166">
        <w:pPr>
          <w:pStyle w:val="Header"/>
          <w:jc w:val="center"/>
          <w:rPr>
            <w:rFonts w:ascii="Arial" w:hAnsi="Arial" w:cs="Arial"/>
            <w:b/>
            <w:bCs/>
            <w:caps/>
            <w:color w:val="FFFFFF" w:themeColor="background1"/>
            <w:sz w:val="24"/>
          </w:rPr>
        </w:pPr>
        <w:r w:rsidRPr="007A2026">
          <w:rPr>
            <w:rFonts w:ascii="Arial" w:hAnsi="Arial" w:cs="Arial"/>
            <w:b/>
            <w:bCs/>
            <w:caps/>
            <w:color w:val="FFFFFF" w:themeColor="background1"/>
            <w:sz w:val="24"/>
          </w:rPr>
          <w:t>MODIFICARI ALE REGULAMENTULUI DISCIPLINAR</w:t>
        </w:r>
      </w:p>
    </w:sdtContent>
  </w:sdt>
  <w:p w:rsidR="002E5201" w:rsidRDefault="005F55DB">
    <w:pPr>
      <w:pStyle w:val="Header"/>
    </w:pPr>
    <w:r>
      <w:rPr>
        <w:noProof/>
        <w:lang w:val="en-US"/>
      </w:rPr>
      <w:pict>
        <v:rect id="Rectangle 197" o:spid="_x0000_s4097" style="position:absolute;margin-left:56.45pt;margin-top:16.85pt;width:657.65pt;height:29.15pt;z-index:-251658752;visibility:visible;mso-wrap-distance-left:9.35pt;mso-wrap-distance-right:9.35p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/9hgIAAFoFAAAOAAAAZHJzL2Uyb0RvYy54bWysVMFu2zAMvQ/YPwi6r3bSZmmDOkXQosOA&#10;Yi3aDTsrshQbkESNUuJkXz9KdtxuLXYYloNDiuSj+ETy8mpvDdspDC24ik9OSs6Uk1C3blPxb19v&#10;P5xzFqJwtTDgVMUPKvCr5ft3l51fqCk0YGqFjEBcWHS+4k2MflEUQTbKinACXjkyakArIqm4KWoU&#10;HaFbU0zL8mPRAdYeQaoQ6PSmN/JlxtdayXivdVCRmYrT3WL+Yv6u07dYXorFBoVvWjlcQ/zDLaxo&#10;HSUdoW5EFGyL7Sso20qEADqeSLAFaN1KlWugaiblH9U8NcKrXAuRE/xIU/h/sPLL7gFZW9PbXcw5&#10;c8LSIz0SbcJtjGLpkCjqfFiQ55N/wEELJKZ69xpt+qdK2D7TehhpVfvIJB2en86mk9mMM0m203k5&#10;LWcJtHiO9hjiJwWWJaHiSPkzm2J3F2LvenRJyQKYtr5tjckKbtbXBtlO0BPPy9NylV+V0H9zMy45&#10;O0hhPWI6KVJlfS1Zigejkp9xj0oTLXT7ab5Jbkg15hFSKhcnvakRterTz0r6DbWNEbnSDJiQNeUf&#10;sQeA1OyvsftbDv4pVOV+HoPLv12sDx4jcmZwcQy2rQN8C8BQVUPm3v9IUk9NYinu13tySeIa6gP1&#10;D0I/WMHL25ae8E6E+CCQJolmjrZDvKePNtBVHAaJswbw51vnyZ8anKycdTSZFQ8/tgIVZ+azo9a/&#10;mJydpVHOytlsPiUFX1rWLy1ua6+BOmNCe8jLLCb/aI6iRrDfaYmsUlYyCScpd8VlxKNyHfuNQWtI&#10;qtUqu9H4ehHv3JOXCTwR7GC1jaDb3LHP7AwE0gDnThiWTdoQL/Xs9bwSl78AAAD//wMAUEsDBBQA&#10;BgAIAAAAIQDmmEK53wAAAAoBAAAPAAAAZHJzL2Rvd25yZXYueG1sTI/BbsIwEETvlfoP1lbqrTiY&#10;CEiIg2il9kYlaCXEzcTbJCVeR7aB9O9rTnAc7dPM22I5mI6d0fnWkoTxKAGGVFndUi3h++v9ZQ7M&#10;B0VadZZQwh96WJaPD4XKtb3QBs/bULNYQj5XEpoQ+pxzXzVolB/ZHinefqwzKsToaq6dusRy03GR&#10;JFNuVEtxoVE9vjVYHbcnI8F97KZpWpls78S6f/3crPX+N0j5/DSsFsACDuEGw1U/qkMZnQ72RNqz&#10;LuaxyCIqYTKZAbsCqZgLYAcJmUiAlwW/f6H8BwAA//8DAFBLAQItABQABgAIAAAAIQC2gziS/gAA&#10;AOEBAAATAAAAAAAAAAAAAAAAAAAAAABbQ29udGVudF9UeXBlc10ueG1sUEsBAi0AFAAGAAgAAAAh&#10;ADj9If/WAAAAlAEAAAsAAAAAAAAAAAAAAAAALwEAAF9yZWxzLy5yZWxzUEsBAi0AFAAGAAgAAAAh&#10;AMhw3/2GAgAAWgUAAA4AAAAAAAAAAAAAAAAALgIAAGRycy9lMm9Eb2MueG1sUEsBAi0AFAAGAAgA&#10;AAAhAOaYQrnfAAAACgEAAA8AAAAAAAAAAAAAAAAA4AQAAGRycy9kb3ducmV2LnhtbFBLBQYAAAAA&#10;BAAEAPMAAADsBQAAAAA=&#10;" o:allowoverlap="f" fillcolor="#7030a0" stroked="f" strokeweight="1pt">
          <v:textbox>
            <w:txbxContent>
              <w:p w:rsidR="002E5201" w:rsidRPr="00F67166" w:rsidRDefault="00F67166" w:rsidP="00F67166">
                <w:pPr>
                  <w:jc w:val="center"/>
                  <w:rPr>
                    <w:b/>
                    <w:bCs/>
                    <w:color w:val="FFC000"/>
                    <w:sz w:val="28"/>
                    <w:szCs w:val="28"/>
                    <w:lang w:val="en-US"/>
                  </w:rPr>
                </w:pPr>
                <w:r w:rsidRPr="00F67166">
                  <w:rPr>
                    <w:b/>
                    <w:bCs/>
                    <w:sz w:val="28"/>
                    <w:szCs w:val="28"/>
                    <w:lang w:val="en-US"/>
                  </w:rPr>
                  <w:t>REGULAMENTUL PRIVIND STATUTUL SI TRANSFERUL JUCATORILOR DE FOTBAL</w:t>
                </w:r>
              </w:p>
            </w:txbxContent>
          </v:textbox>
          <w10:wrap type="square"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A2026"/>
    <w:rsid w:val="000E2415"/>
    <w:rsid w:val="0012005D"/>
    <w:rsid w:val="003A6D3B"/>
    <w:rsid w:val="004451DF"/>
    <w:rsid w:val="005F55DB"/>
    <w:rsid w:val="007A2026"/>
    <w:rsid w:val="0090313C"/>
    <w:rsid w:val="009F753F"/>
    <w:rsid w:val="00AC4C0E"/>
    <w:rsid w:val="00BC5803"/>
    <w:rsid w:val="00F67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26"/>
    <w:rPr>
      <w:lang w:val="ro-RO"/>
    </w:rPr>
  </w:style>
  <w:style w:type="table" w:styleId="TableGrid">
    <w:name w:val="Table Grid"/>
    <w:basedOn w:val="TableNormal"/>
    <w:uiPriority w:val="39"/>
    <w:rsid w:val="007A20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A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2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DF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0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026"/>
    <w:rPr>
      <w:lang w:val="ro-RO"/>
    </w:rPr>
  </w:style>
  <w:style w:type="table" w:styleId="TableGrid">
    <w:name w:val="Table Grid"/>
    <w:basedOn w:val="TableNormal"/>
    <w:uiPriority w:val="39"/>
    <w:rsid w:val="007A202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A2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02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DF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MODIFICARI ALE REGULAMENTULUI DISCIPLINAR</vt:lpstr>
    </vt:vector>
  </TitlesOfParts>
  <Company>Deftones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MODIFICARI ALE REGULAMENTULUI DISCIPLINAR</dc:title>
  <dc:creator>Eduard Ursu</dc:creator>
  <cp:lastModifiedBy>user</cp:lastModifiedBy>
  <cp:revision>2</cp:revision>
  <cp:lastPrinted>2020-09-30T10:16:00Z</cp:lastPrinted>
  <dcterms:created xsi:type="dcterms:W3CDTF">2020-10-09T11:17:00Z</dcterms:created>
  <dcterms:modified xsi:type="dcterms:W3CDTF">2020-10-09T11:17:00Z</dcterms:modified>
</cp:coreProperties>
</file>